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3" w:rsidRPr="00920580" w:rsidRDefault="00F37383" w:rsidP="00BE4C3A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-151765</wp:posOffset>
                </wp:positionV>
                <wp:extent cx="1000125" cy="447675"/>
                <wp:effectExtent l="19050" t="19050" r="3810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0580" w:rsidRPr="00CF436A" w:rsidRDefault="00920580" w:rsidP="0092058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.5pt;margin-top:-11.95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CtogIAALMFAAAOAAAAZHJzL2Uyb0RvYy54bWysVEtv1DAQviPxHyzfaZLtPqNmq6qlCKlA&#10;RUGcvbazMTi2sZ3Ntr+e8SRdtlQcqLhYnhn7m5lvHmfn+1aTnfRBWVPR4iSnRBpuhTLbin79cv1m&#10;SUmIzAimrZEVvZeBnq9fvzrrXSkntrFaSE8AxISydxVtYnRllgXeyJaFE+ukAWNtfcsiiH6bCc96&#10;QG91NsnzedZbL5y3XIYA2qvBSNeIX9eSx091HWQkuqIQW8TT47lJZ7Y+Y+XWM9coPobBXhBFy5QB&#10;pweoKxYZ6bx6BtUq7m2wdTzhts1sXSsuMQfIpsj/yOauYU5iLkBOcAeawv+D5R93t54oAbWjxLAW&#10;SnTRRYueySTR07tQwqs7d+tTgsHdWP4jEGMvG2a28sJ72zeSCQiqSO+zJx+SEOAr2fQfrAB0BujI&#10;1L72bQIEDsgeC3J/KIjcR8JBWeR5XkxmlHCwTaeL+WKGLlj5+Nv5EN9J25J0qai3nRGfoerogu1u&#10;QsSqiDE3Jr5TUrcaarxjmhTz+XwxIo6PM1Y+YmK6VitxrbRGIXWlvNSewGdIhXNp4hRd6a6F/AZ9&#10;ijofWwv00ICDHlWAj82dYIAskI49aEP6ip4uAQJhnxgP/wY4HYtnrlezl3pG5nAaUjHfGoH3yJQe&#10;7hCpNokEiVM1Emu7KP1dI3oiVOJ/sjxdwcQLBSN2uszn+WpBCdNb2A08ekq8jd9UbLC9UrX/gdWU&#10;2d9IZSXTrmEDL4eHz6g+RIvEHyWCPZvadGj3uN/sx87fWHEP3QtxY4vCpoNLY/0DJT1sjYqGnx3z&#10;khL93sAErIrpNK0ZFKazxQQEf2zZHFuY4QBV0Qgc4fUyDqupc15tG/A0VNjYNJO1io/jNUQ1zhps&#10;Bsxn3GJp9RzL+Or3rl3/AgAA//8DAFBLAwQUAAYACAAAACEAx7PJSd8AAAAIAQAADwAAAGRycy9k&#10;b3ducmV2LnhtbEyPwU7DMBBE70j8g7VI3FqHtEQlZFNVVD1wQhSoxM2Jl8Q0Xkex24Z+Pe4JjqMZ&#10;zbwplqPtxJEGbxwj3E0TEMS104YbhPe3zWQBwgfFWnWOCeGHPCzL66tC5dqd+JWO29CIWMI+Vwht&#10;CH0upa9bsspPXU8cvS83WBWiHBqpB3WK5baTaZJk0irDcaFVPT21VO+3B4uwfk4/TTN8VGa++X7R&#10;u9X5vOc14u3NuHoEEWgMf2G44Ed0KCNT5Q6svegQZvFJQJikswcQFz9L7kFUCPMsA1kW8v+B8hcA&#10;AP//AwBQSwECLQAUAAYACAAAACEAtoM4kv4AAADhAQAAEwAAAAAAAAAAAAAAAAAAAAAAW0NvbnRl&#10;bnRfVHlwZXNdLnhtbFBLAQItABQABgAIAAAAIQA4/SH/1gAAAJQBAAALAAAAAAAAAAAAAAAAAC8B&#10;AABfcmVscy8ucmVsc1BLAQItABQABgAIAAAAIQC64aCtogIAALMFAAAOAAAAAAAAAAAAAAAAAC4C&#10;AABkcnMvZTJvRG9jLnhtbFBLAQItABQABgAIAAAAIQDHs8lJ3wAAAAgBAAAPAAAAAAAAAAAAAAAA&#10;APwEAABkcnMvZG93bnJldi54bWxQSwUGAAAAAAQABADzAAAACAYAAAAA&#10;" fillcolor="#ffc000 [3207]" strokecolor="#f2f2f2 [3041]" strokeweight="3pt">
                <v:shadow on="t" color="#7f5f00 [1607]" opacity=".5" offset="1pt"/>
                <v:textbox>
                  <w:txbxContent>
                    <w:p w:rsidR="00920580" w:rsidRPr="00CF436A" w:rsidRDefault="00920580" w:rsidP="00920580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920580">
        <w:rPr>
          <w:rFonts w:ascii="IranNastaliq" w:hAnsi="IranNastaliq" w:cs="B Titr"/>
          <w:sz w:val="28"/>
          <w:szCs w:val="28"/>
          <w:rtl/>
          <w:lang w:bidi="fa-IR"/>
        </w:rPr>
        <w:t>چک لیست کشوری درمان</w:t>
      </w:r>
      <w:r w:rsidR="00E570CE" w:rsidRPr="00920580">
        <w:rPr>
          <w:rFonts w:ascii="IranNastaliq" w:hAnsi="IranNastaliq" w:cs="B Titr"/>
          <w:sz w:val="28"/>
          <w:szCs w:val="28"/>
          <w:rtl/>
          <w:lang w:bidi="fa-IR"/>
        </w:rPr>
        <w:t xml:space="preserve">گاه </w:t>
      </w:r>
      <w:r w:rsidR="001A69A8" w:rsidRPr="00920580">
        <w:rPr>
          <w:rFonts w:ascii="IranNastaliq" w:hAnsi="IranNastaliq" w:cs="B Titr"/>
          <w:sz w:val="28"/>
          <w:szCs w:val="28"/>
          <w:rtl/>
          <w:lang w:bidi="fa-IR"/>
        </w:rPr>
        <w:t>تخصصی</w:t>
      </w:r>
      <w:r w:rsidR="0081321D" w:rsidRPr="00920580">
        <w:rPr>
          <w:rFonts w:ascii="IranNastaliq" w:hAnsi="IranNastaliq" w:cs="B Titr"/>
          <w:sz w:val="28"/>
          <w:szCs w:val="28"/>
          <w:rtl/>
          <w:lang w:bidi="fa-IR"/>
        </w:rPr>
        <w:t xml:space="preserve"> غیرتهاجمی قلب و عروق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نام مؤسسه:                                                                                                                           تاریخ اعتبار پروانه بهره برداری: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                  </w:t>
      </w:r>
      <w:r w:rsidR="00C41A77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</w:t>
      </w: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</w:t>
      </w:r>
      <w:r w:rsidR="00F878E6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همراهمسئول فنی :</w:t>
      </w:r>
    </w:p>
    <w:p w:rsidR="00C01AA1" w:rsidRPr="00DE1788" w:rsidRDefault="00C41A77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تاریخ اعتبار پروانه مسئول فنی :                                        </w:t>
      </w:r>
      <w:r w:rsidR="005B5B8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           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2E31B7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بخشهای مندرج در پروانه*</w:t>
      </w:r>
    </w:p>
    <w:p w:rsidR="00C01AA1" w:rsidRPr="00DE1788" w:rsidRDefault="00C01AA1" w:rsidP="002E31B7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             </w:t>
      </w:r>
    </w:p>
    <w:p w:rsidR="0034673C" w:rsidRPr="00DE1788" w:rsidRDefault="00C41A77" w:rsidP="00BE4C3A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C01AA1" w:rsidRPr="00DE1788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و ساعت بازدید :</w:t>
      </w:r>
    </w:p>
    <w:p w:rsidR="00C01AA1" w:rsidRPr="0038091A" w:rsidRDefault="00C01AA1" w:rsidP="0034673C">
      <w:pPr>
        <w:bidi/>
        <w:spacing w:after="0"/>
        <w:rPr>
          <w:rFonts w:cs="B Titr"/>
          <w:rtl/>
          <w:lang w:bidi="fa-IR"/>
        </w:rPr>
      </w:pPr>
    </w:p>
    <w:tbl>
      <w:tblPr>
        <w:tblStyle w:val="TableGrid"/>
        <w:bidiVisual/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2551"/>
        <w:gridCol w:w="284"/>
        <w:gridCol w:w="283"/>
        <w:gridCol w:w="426"/>
        <w:gridCol w:w="708"/>
        <w:gridCol w:w="709"/>
        <w:gridCol w:w="1276"/>
        <w:gridCol w:w="2697"/>
      </w:tblGrid>
      <w:tr w:rsidR="00AD3726" w:rsidTr="00C41A77">
        <w:trPr>
          <w:trHeight w:val="564"/>
          <w:jc w:val="center"/>
        </w:trPr>
        <w:tc>
          <w:tcPr>
            <w:tcW w:w="1491" w:type="dxa"/>
            <w:vMerge w:val="restart"/>
            <w:shd w:val="clear" w:color="auto" w:fill="F4B083" w:themeFill="accent2" w:themeFillTint="99"/>
            <w:vAlign w:val="center"/>
          </w:tcPr>
          <w:p w:rsidR="00AD3726" w:rsidRPr="002E31B7" w:rsidRDefault="00AD3726" w:rsidP="00661930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10" w:type="dxa"/>
            <w:gridSpan w:val="5"/>
            <w:shd w:val="clear" w:color="auto" w:fill="F4B083" w:themeFill="accent2" w:themeFillTint="99"/>
          </w:tcPr>
          <w:p w:rsidR="00AD3726" w:rsidRPr="002E31B7" w:rsidRDefault="00AD3726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697" w:type="dxa"/>
            <w:vMerge w:val="restart"/>
            <w:shd w:val="clear" w:color="auto" w:fill="F4B083" w:themeFill="accent2" w:themeFillTint="99"/>
          </w:tcPr>
          <w:p w:rsidR="00AD3726" w:rsidRPr="002E31B7" w:rsidRDefault="00AD3726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AD3726" w:rsidRPr="002E31B7" w:rsidRDefault="00AD3726" w:rsidP="00AD3726">
            <w:pPr>
              <w:bidi/>
              <w:jc w:val="center"/>
              <w:rPr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AD3726" w:rsidTr="00C41A77">
        <w:trPr>
          <w:trHeight w:val="631"/>
          <w:jc w:val="center"/>
        </w:trPr>
        <w:tc>
          <w:tcPr>
            <w:tcW w:w="1491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283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AD3726" w:rsidRPr="002E31B7" w:rsidRDefault="00AD3726" w:rsidP="002E31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E31B7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7" w:type="dxa"/>
            <w:vMerge/>
          </w:tcPr>
          <w:p w:rsidR="00AD3726" w:rsidRPr="0041662A" w:rsidRDefault="00AD3726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  <w:vAlign w:val="center"/>
          </w:tcPr>
          <w:p w:rsidR="00F579BE" w:rsidRPr="00BE4C3A" w:rsidRDefault="00F579BE" w:rsidP="00F579B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مسئول فنی معتبر است.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  <w:vAlign w:val="center"/>
          </w:tcPr>
          <w:p w:rsidR="00F579BE" w:rsidRPr="00BE4C3A" w:rsidRDefault="00F579BE" w:rsidP="00F579B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مطب معتبر پزشكان و مجوز اشتغال ساير پرسنل فني وجود دارد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پروانه مطب معتبر کلیه پزشکان شاغل و مجوز فعالیت معتبرکلیه پرسنل پیراپزشکی 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در صورت وجود </w:t>
            </w:r>
            <w:r w:rsidR="00427AEE" w:rsidRPr="00BE4C3A">
              <w:rPr>
                <w:rFonts w:cs="B Mitra" w:hint="cs"/>
                <w:rtl/>
                <w:lang w:bidi="fa-IR"/>
              </w:rPr>
              <w:t>پزشکی هسته ای</w:t>
            </w:r>
            <w:r w:rsidRPr="00BE4C3A">
              <w:rPr>
                <w:rFonts w:cs="B Mitra" w:hint="cs"/>
                <w:rtl/>
                <w:lang w:bidi="fa-IR"/>
              </w:rPr>
              <w:t xml:space="preserve">،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 ، قوانین و مستندات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مسئولین فني و یا جانشین معرفی شده حضور  دارند.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/>
                <w:rtl/>
                <w:lang w:bidi="fa-IR"/>
              </w:rPr>
              <w:t xml:space="preserve">حضور مستمر و دائم </w:t>
            </w:r>
            <w:r w:rsidRPr="00BE4C3A">
              <w:rPr>
                <w:rFonts w:cs="B Mitra" w:hint="cs"/>
                <w:rtl/>
                <w:lang w:bidi="fa-IR"/>
              </w:rPr>
              <w:t>مسئولین فنی بر اساس پروانه صادره یا پزشك جانشین معرفی شده  به معاونت درمان طبق آئين نامه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لیست پزشکان و پیراپزشکان فعال در درمانگاه به معاونت درمان ارسال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بررسی مستندات مربوط به ارسال مدارک پزشکان و پیراپزشکان به معاونت درمان</w:t>
            </w:r>
          </w:p>
        </w:tc>
      </w:tr>
      <w:tr w:rsidR="00F579B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کادر فنی درمانگاه طبق آیین نامه حضور دارند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مطابق آیین نامه  و قوانین </w:t>
            </w:r>
          </w:p>
        </w:tc>
      </w:tr>
      <w:tr w:rsidR="00F579B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C40D19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افراد فاقد صلاحیت اعم از پزشک و پرسنل درمانی  در مرکز</w:t>
            </w:r>
            <w:r w:rsidR="00C40D19">
              <w:rPr>
                <w:rFonts w:cs="B Mitra" w:hint="cs"/>
                <w:rtl/>
                <w:lang w:bidi="fa-IR"/>
              </w:rPr>
              <w:t xml:space="preserve"> فعالیت نمی نمایند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  <w:rtl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E" w:rsidRPr="00BE4C3A" w:rsidRDefault="00F579BE" w:rsidP="00F579BE">
            <w:pPr>
              <w:bidi/>
              <w:rPr>
                <w:rFonts w:ascii="Calibri" w:eastAsia="Calibri" w:hAnsi="Calibri" w:cs="B Mitra"/>
                <w:lang w:bidi="fa-IR"/>
              </w:rPr>
            </w:pPr>
            <w:r w:rsidRPr="00BE4C3A">
              <w:rPr>
                <w:rFonts w:ascii="Calibri" w:eastAsia="Calibri" w:hAnsi="Calibri" w:cs="B Mitra" w:hint="cs"/>
                <w:rtl/>
                <w:lang w:bidi="fa-IR"/>
              </w:rPr>
              <w:t xml:space="preserve">پزشکان و پرسنل فنی بدون مجوز ، اعضا هیات علمی تمام وقت جغرافیایی ، دستیار- اعضاهیات علمی تماوقت و رسمی ارگانها در ساعات موظف 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خدمات تشخیصی درمانی تخصصی نظیر (اکوکاردیوگرافی ، استرس اکو و تست ورزش، هولتر مانیتورینگ و بررسی پیس میکر و...در درمانگاه مطابق استاندارد انجام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مطابق آیین نامه  و قوانین</w:t>
            </w:r>
          </w:p>
        </w:tc>
      </w:tr>
      <w:tr w:rsidR="00F579B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مشاوره های تخصصی بالینی و مشاوره های تغذیه و رژیم درمانی در درمانگاه مطابق استاندارد انجام می شود.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اتاق مناسب و مستقل با نور وتهویه مطلوب جهت هر یک از تخصص های موجود در درمانگاه و بخش تغذیه ورژیم درمانی، مستندات انجام مشاوره</w:t>
            </w:r>
          </w:p>
        </w:tc>
      </w:tr>
      <w:tr w:rsidR="00F579B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بازتوانی بیماران قلبی و عروقی در درمانگاه انجام می شود.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فضای با متراژ مناسب و مستقل با نورو تهویه مطلوب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 xml:space="preserve"> وجود تجهیزات مورد نیاز بر اساس خدمات قابل ارائه 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F579BE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579BE" w:rsidRDefault="00F579B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551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اندازه ، تعداد و عناوین تابلوي درمانگاه استاندارد می باشد.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تابلو و سرنسخه سازمان نظام پزشكي- عناوين مندرج در تابلو مطابق با پروانه بهره برداري درمانگاه  و عدم استفاده از عناوين كلينيك و يا پلي كلينيك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عناوين مندرج در تابلو و سرنسخه مطابق با بخش های مندرج در پروانه تاسیس درمانگاه  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كليه بخشهاي موجود در پروانه تاسيس فعال می باشد (ذكر كليه بخشها و تخصصهاي فعال درمانگاه) 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انطباق بخش های موجود و فعال در درمانگاه با بخش های موجود در پروانه تأسیس</w:t>
            </w:r>
          </w:p>
        </w:tc>
      </w:tr>
      <w:tr w:rsidR="00F579B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F579BE" w:rsidRPr="00D53B8D" w:rsidRDefault="00F579BE" w:rsidP="00F579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579BE" w:rsidRPr="00BE4C3A" w:rsidRDefault="00F579BE" w:rsidP="00F579B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بخش خارج از پروانه تاسيس فعال نمی باشد.</w:t>
            </w:r>
          </w:p>
        </w:tc>
        <w:tc>
          <w:tcPr>
            <w:tcW w:w="284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579BE" w:rsidRPr="00135F63" w:rsidRDefault="00F579BE" w:rsidP="00F579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579BE" w:rsidRPr="00BE4C3A" w:rsidRDefault="00F579B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F579BE" w:rsidRPr="00BE4C3A" w:rsidRDefault="00F579BE" w:rsidP="00F579B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دفتر ثبت مشخصات جهت بیماران وجود دارد.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ثبت نام و نام خانوادگي- سن 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 xml:space="preserve">  تاريخ و ساعت مراجعه-نوع خدمت- نام پزشك/ نرم افزار مناسب قابل جایگزینی می باشد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برای کلیه بیماران قلب و عروق پرونده تشکیل می شود.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پزشك</w:t>
            </w:r>
          </w:p>
        </w:tc>
      </w:tr>
      <w:tr w:rsidR="00427AEE" w:rsidTr="00C41A77">
        <w:trPr>
          <w:trHeight w:val="571"/>
          <w:jc w:val="center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ساختار فيزيكيمنطبق بر آخرین پلان و تاييد شده توسط معاونت درمان دانشگاه می باشد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درمانگاه </w:t>
            </w:r>
          </w:p>
        </w:tc>
      </w:tr>
      <w:tr w:rsidR="00427AEE" w:rsidTr="00C41A77">
        <w:trPr>
          <w:trHeight w:val="361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551" w:type="dxa"/>
          </w:tcPr>
          <w:p w:rsidR="00427AEE" w:rsidRPr="00BE4C3A" w:rsidRDefault="00427AEE" w:rsidP="008C2CD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سوابق مصونيت بر عليه هپاتيت </w:t>
            </w:r>
            <w:r w:rsidRPr="00BE4C3A">
              <w:rPr>
                <w:rFonts w:cs="B Mitra"/>
                <w:lang w:bidi="fa-IR"/>
              </w:rPr>
              <w:t>B</w:t>
            </w:r>
            <w:r w:rsidRPr="00BE4C3A">
              <w:rPr>
                <w:rFonts w:cs="B Mitra" w:hint="cs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7" w:type="dxa"/>
          </w:tcPr>
          <w:p w:rsidR="00427AEE" w:rsidRPr="00BE4C3A" w:rsidRDefault="00427AEE" w:rsidP="008C2CD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بررسی مستندات مربوط به مصونیت بر علیه هپاتيت </w:t>
            </w:r>
            <w:r w:rsidRPr="00BE4C3A">
              <w:rPr>
                <w:rFonts w:cs="B Mitra"/>
                <w:lang w:bidi="fa-IR"/>
              </w:rPr>
              <w:t>B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مدیریت پسماندهاي نوك تيز و برنده (سفتي باكس) طبق استاندارد صورت میگیرد.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 تعويض به موقع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BE4C3A">
              <w:rPr>
                <w:rFonts w:cs="B Mitra"/>
                <w:lang w:bidi="fa-IR"/>
              </w:rPr>
              <w:t>safety box</w:t>
            </w:r>
            <w:r w:rsidRPr="00BE4C3A">
              <w:rPr>
                <w:rFonts w:cs="B Mitra" w:hint="cs"/>
                <w:rtl/>
                <w:lang w:bidi="fa-IR"/>
              </w:rPr>
              <w:t xml:space="preserve"> - نحوه </w:t>
            </w:r>
            <w:r w:rsidRPr="00BE4C3A">
              <w:rPr>
                <w:rFonts w:cs="B Mitra"/>
                <w:lang w:bidi="fa-IR"/>
              </w:rPr>
              <w:t>OUT</w:t>
            </w:r>
            <w:r w:rsidRPr="00BE4C3A">
              <w:rPr>
                <w:rFonts w:cs="B Mitra" w:hint="cs"/>
                <w:rtl/>
                <w:lang w:bidi="fa-IR"/>
              </w:rPr>
              <w:t xml:space="preserve"> نمودن </w:t>
            </w:r>
            <w:r w:rsidRPr="00BE4C3A">
              <w:rPr>
                <w:rFonts w:cs="B Mitra"/>
                <w:lang w:bidi="fa-IR"/>
              </w:rPr>
              <w:t>safety box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سطل زباله درب دار و پدال دار با كيسه زباله زردرنگ جهت زباله هاي عفوني وجود دارد.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</w:t>
            </w:r>
            <w:r w:rsidRPr="00BE4C3A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BE4C3A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BE4C3A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BE4C3A">
              <w:rPr>
                <w:rFonts w:cs="B Mitra" w:hint="cs"/>
                <w:rtl/>
                <w:lang w:bidi="fa-IR"/>
              </w:rPr>
              <w:t xml:space="preserve">تهويه و سيستمهاي برودتي/حرارتي و رعایت اصول بهداشتی،  مناسب می باشد.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درمانگاه - مناسب بودن  </w:t>
            </w:r>
            <w:r w:rsidRPr="00BE4C3A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BE4C3A">
              <w:rPr>
                <w:rFonts w:cs="B Mitra" w:hint="cs"/>
                <w:rtl/>
                <w:lang w:bidi="fa-IR"/>
              </w:rPr>
              <w:t xml:space="preserve">و </w:t>
            </w:r>
            <w:r w:rsidRPr="00BE4C3A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BE4C3A">
              <w:rPr>
                <w:rFonts w:cs="B Mitra" w:hint="cs"/>
                <w:rtl/>
                <w:lang w:bidi="fa-IR"/>
              </w:rPr>
              <w:t xml:space="preserve"> - وجود سیستم سرمایش و گرمایش مناسب (غیر از بخاری گازسوز)</w:t>
            </w:r>
          </w:p>
        </w:tc>
      </w:tr>
      <w:tr w:rsidR="00427AEE" w:rsidTr="00C41A77">
        <w:trPr>
          <w:trHeight w:val="361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8C2CDE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C2CDE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27AEE" w:rsidRPr="00D53B8D" w:rsidRDefault="00427AE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ترالي کد اورژانس ، داروها و امكانات كامل احيا، دستگاه الكتروشوك و نوار قلب سالم و ساکشن سالم وجود دارد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/ تائید صحت عملکرد و امتحان دستگاه ( </w:t>
            </w:r>
            <w:r w:rsidRPr="00BE4C3A">
              <w:rPr>
                <w:rFonts w:cs="B Mitra"/>
                <w:lang w:bidi="fa-IR"/>
              </w:rPr>
              <w:t xml:space="preserve"> D/C</w:t>
            </w:r>
            <w:r w:rsidRPr="00BE4C3A">
              <w:rPr>
                <w:rFonts w:cs="B Mitra" w:hint="cs"/>
                <w:rtl/>
                <w:lang w:bidi="fa-IR"/>
              </w:rPr>
              <w:t xml:space="preserve"> شوک ، </w:t>
            </w:r>
            <w:r w:rsidRPr="00BE4C3A">
              <w:rPr>
                <w:rFonts w:cs="B Mitra"/>
                <w:lang w:bidi="fa-IR"/>
              </w:rPr>
              <w:t>ECG</w:t>
            </w:r>
            <w:r w:rsidRPr="00BE4C3A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عدم وجود دراوهای غیر اورژانسی و تاریخ گذشته در درمانگاه 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درمانگاه داراي آمبولانس و يا قرارداد با مراكز آمبولانس خصوصي می باشد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آمبولانس یا قرارداد با مراکز آمبولانس خصوصی معتبر.( نام آمبولانس خصوصي طرف قرارداد ذكر شود )</w:t>
            </w:r>
          </w:p>
        </w:tc>
      </w:tr>
      <w:tr w:rsidR="00427AEE" w:rsidTr="00C41A77">
        <w:trPr>
          <w:trHeight w:val="383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مربعیا سیستم اطفاء حریق مرکزی در دسترس</w:t>
            </w:r>
          </w:p>
        </w:tc>
      </w:tr>
      <w:tr w:rsidR="00427AEE" w:rsidTr="00C41A77">
        <w:trPr>
          <w:trHeight w:val="583"/>
          <w:jc w:val="center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پاراکلینیک</w:t>
            </w: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در صورت وجود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پروانه هاي معتبر تاسيس و مسئول فني ، در معرض ديد مراجعين نصب می باشند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رؤیت نصب اتیکت شناسایی شامل </w:t>
            </w:r>
            <w:r w:rsidRPr="00BE4C3A">
              <w:rPr>
                <w:rFonts w:cs="B Mitra"/>
                <w:rtl/>
                <w:lang w:bidi="fa-IR"/>
              </w:rPr>
              <w:t xml:space="preserve"> نام </w:t>
            </w:r>
            <w:r w:rsidRPr="00BE4C3A">
              <w:rPr>
                <w:rFonts w:cs="B Mitra" w:hint="cs"/>
                <w:rtl/>
                <w:lang w:bidi="fa-IR"/>
              </w:rPr>
              <w:t>خ</w:t>
            </w:r>
            <w:r w:rsidRPr="00BE4C3A">
              <w:rPr>
                <w:rFonts w:cs="B Mitra"/>
                <w:rtl/>
                <w:lang w:bidi="fa-IR"/>
              </w:rPr>
              <w:t>انوادگی و سمت</w:t>
            </w:r>
            <w:r w:rsidRPr="00BE4C3A">
              <w:rPr>
                <w:rFonts w:cs="B Mitra" w:hint="cs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مشخصات و تخصص كليه پزشكان شاغل در نوبتهاي مختلف ،در تابلوي اعلانات درج می باشد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محرمانگی و حفظ حریم خصوصی رعایت می گردد. </w:t>
            </w:r>
          </w:p>
        </w:tc>
        <w:tc>
          <w:tcPr>
            <w:tcW w:w="284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427AE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135F63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8C2CDE" w:rsidRPr="00BE4C3A" w:rsidRDefault="008C2CD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رعایت شئونات پزشکی و ضوابط اخلاقی و انسانی</w:t>
            </w:r>
          </w:p>
        </w:tc>
      </w:tr>
      <w:tr w:rsidR="008C2CDE" w:rsidTr="00C41A77">
        <w:trPr>
          <w:trHeight w:val="361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8C2CDE" w:rsidRPr="00D53B8D" w:rsidRDefault="008C2CDE" w:rsidP="008C2CD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خدمات تشخیصی </w:t>
            </w:r>
            <w:r w:rsidRPr="00BE4C3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E4C3A">
              <w:rPr>
                <w:rFonts w:cs="B Mitra" w:hint="cs"/>
                <w:rtl/>
                <w:lang w:bidi="fa-IR"/>
              </w:rPr>
              <w:t>درمانی بصورت خدمات القائی (پکیج) ارائه نمی گردد</w:t>
            </w:r>
          </w:p>
        </w:tc>
        <w:tc>
          <w:tcPr>
            <w:tcW w:w="284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CDE" w:rsidRPr="00135F63" w:rsidRDefault="008C2CDE" w:rsidP="008C2CD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C2CDE" w:rsidRPr="00BE4C3A" w:rsidRDefault="008C2CDE" w:rsidP="008C2CDE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8C2CDE" w:rsidRPr="00BE4C3A" w:rsidRDefault="008C2CDE" w:rsidP="008C2CD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27AEE" w:rsidTr="00C41A77">
        <w:trPr>
          <w:trHeight w:val="526"/>
          <w:jc w:val="center"/>
        </w:trPr>
        <w:tc>
          <w:tcPr>
            <w:tcW w:w="1491" w:type="dxa"/>
            <w:vMerge w:val="restart"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551" w:type="dxa"/>
          </w:tcPr>
          <w:p w:rsidR="00427AEE" w:rsidRPr="00BE4C3A" w:rsidRDefault="00427AEE" w:rsidP="00BE4C3A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8C2CDE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رؤیت نصبتعرفه ها</w:t>
            </w:r>
            <w:r w:rsidRPr="00BE4C3A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BE4C3A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427AEE" w:rsidTr="00C41A77">
        <w:trPr>
          <w:trHeight w:val="437"/>
          <w:jc w:val="center"/>
        </w:trPr>
        <w:tc>
          <w:tcPr>
            <w:tcW w:w="1491" w:type="dxa"/>
            <w:vMerge/>
            <w:shd w:val="clear" w:color="auto" w:fill="FBE4D5" w:themeFill="accent2" w:themeFillTint="33"/>
            <w:vAlign w:val="center"/>
          </w:tcPr>
          <w:p w:rsidR="00427AEE" w:rsidRPr="00D53B8D" w:rsidRDefault="00427AEE" w:rsidP="00427AE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27AEE" w:rsidRPr="00135F63" w:rsidRDefault="00427AEE" w:rsidP="00427AE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135F6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7AEE" w:rsidRPr="00BE4C3A" w:rsidRDefault="00427AEE" w:rsidP="00BE4C3A">
            <w:pPr>
              <w:jc w:val="center"/>
              <w:rPr>
                <w:rFonts w:cs="B Mitra"/>
              </w:rPr>
            </w:pPr>
            <w:r w:rsidRPr="00BE4C3A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7" w:type="dxa"/>
          </w:tcPr>
          <w:p w:rsidR="00427AEE" w:rsidRPr="00BE4C3A" w:rsidRDefault="00427AEE" w:rsidP="00427AEE">
            <w:pPr>
              <w:bidi/>
              <w:rPr>
                <w:rFonts w:cs="B Mitra"/>
                <w:rtl/>
                <w:lang w:bidi="fa-IR"/>
              </w:rPr>
            </w:pPr>
            <w:r w:rsidRPr="00BE4C3A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A74C5A" w:rsidRPr="00A74C5A" w:rsidRDefault="00A74C5A" w:rsidP="00A74C5A">
      <w:pPr>
        <w:bidi/>
        <w:rPr>
          <w:rtl/>
          <w:lang w:bidi="fa-IR"/>
        </w:rPr>
      </w:pPr>
    </w:p>
    <w:tbl>
      <w:tblPr>
        <w:tblStyle w:val="TableGrid"/>
        <w:bidiVisual/>
        <w:tblW w:w="10418" w:type="dxa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76"/>
        <w:gridCol w:w="5197"/>
        <w:gridCol w:w="3945"/>
      </w:tblGrid>
      <w:tr w:rsidR="00F878E6" w:rsidTr="00C41A77">
        <w:trPr>
          <w:trHeight w:val="10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Default="00F878E6" w:rsidP="002E31B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E31B7" w:rsidRPr="00E054D5" w:rsidRDefault="00F878E6" w:rsidP="00C41A7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F878E6" w:rsidTr="00C41A77">
        <w:trPr>
          <w:trHeight w:val="9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Default="00F878E6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E31B7" w:rsidRPr="00E054D5" w:rsidRDefault="00F878E6" w:rsidP="00C41A7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پیشن</w:t>
            </w:r>
            <w:r w:rsidR="00C41A77">
              <w:rPr>
                <w:rFonts w:cs="B Mitra" w:hint="cs"/>
                <w:sz w:val="24"/>
                <w:szCs w:val="24"/>
                <w:rtl/>
                <w:lang w:bidi="fa-IR"/>
              </w:rPr>
              <w:t>هاد اصلاحی و مداخلات  قابل اجرا</w:t>
            </w:r>
          </w:p>
          <w:p w:rsidR="002E31B7" w:rsidRPr="00E054D5" w:rsidRDefault="002E31B7" w:rsidP="002E31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878E6" w:rsidTr="00C41A77">
        <w:trPr>
          <w:trHeight w:val="863"/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878E6" w:rsidRPr="00E054D5" w:rsidRDefault="00F878E6" w:rsidP="00C41A7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مفادچک لیست فوق را برطرف نموده و گزارش اقدامات اصلاحی را ب</w:t>
            </w:r>
            <w:r w:rsidR="00F579BE" w:rsidRPr="00E054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E054D5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F878E6" w:rsidTr="00C41A77">
        <w:trPr>
          <w:trHeight w:val="1610"/>
          <w:jc w:val="center"/>
        </w:trPr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54D5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78E6" w:rsidRPr="00E054D5" w:rsidRDefault="00F878E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C41A77" w:rsidTr="00446949">
        <w:trPr>
          <w:trHeight w:val="1880"/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41A77" w:rsidRPr="00E054D5" w:rsidRDefault="00C41A7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054D5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bookmarkStart w:id="0" w:name="_GoBack"/>
        <w:bookmarkEnd w:id="0"/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34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D5" w:rsidRDefault="003B08D5" w:rsidP="00A17817">
      <w:pPr>
        <w:spacing w:after="0" w:line="240" w:lineRule="auto"/>
      </w:pPr>
      <w:r>
        <w:separator/>
      </w:r>
    </w:p>
  </w:endnote>
  <w:endnote w:type="continuationSeparator" w:id="0">
    <w:p w:rsidR="003B08D5" w:rsidRDefault="003B08D5" w:rsidP="00A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17" w:rsidRDefault="00A17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22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817" w:rsidRDefault="00406E1D">
        <w:pPr>
          <w:pStyle w:val="Footer"/>
          <w:jc w:val="center"/>
        </w:pPr>
        <w:r>
          <w:fldChar w:fldCharType="begin"/>
        </w:r>
        <w:r w:rsidR="00A17817">
          <w:instrText xml:space="preserve"> PAGE   \* MERGEFORMAT </w:instrText>
        </w:r>
        <w:r>
          <w:fldChar w:fldCharType="separate"/>
        </w:r>
        <w:r w:rsidR="00C41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817" w:rsidRDefault="00A17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17" w:rsidRDefault="00A1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D5" w:rsidRDefault="003B08D5" w:rsidP="00A17817">
      <w:pPr>
        <w:spacing w:after="0" w:line="240" w:lineRule="auto"/>
      </w:pPr>
      <w:r>
        <w:separator/>
      </w:r>
    </w:p>
  </w:footnote>
  <w:footnote w:type="continuationSeparator" w:id="0">
    <w:p w:rsidR="003B08D5" w:rsidRDefault="003B08D5" w:rsidP="00A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17" w:rsidRDefault="00A1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17" w:rsidRDefault="00A1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17" w:rsidRDefault="00A1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85E00"/>
    <w:rsid w:val="000A3DB6"/>
    <w:rsid w:val="00135F63"/>
    <w:rsid w:val="001610E5"/>
    <w:rsid w:val="00197028"/>
    <w:rsid w:val="001A69A8"/>
    <w:rsid w:val="00202DF3"/>
    <w:rsid w:val="00211CC3"/>
    <w:rsid w:val="002522A7"/>
    <w:rsid w:val="00257B11"/>
    <w:rsid w:val="00267AFA"/>
    <w:rsid w:val="00273C1B"/>
    <w:rsid w:val="00297E66"/>
    <w:rsid w:val="002E31B7"/>
    <w:rsid w:val="00320A32"/>
    <w:rsid w:val="0034673C"/>
    <w:rsid w:val="00394B78"/>
    <w:rsid w:val="003B08D5"/>
    <w:rsid w:val="003D5CFE"/>
    <w:rsid w:val="003E0420"/>
    <w:rsid w:val="003E13A1"/>
    <w:rsid w:val="00406E1D"/>
    <w:rsid w:val="004074F5"/>
    <w:rsid w:val="0041662A"/>
    <w:rsid w:val="00427AEE"/>
    <w:rsid w:val="00450C39"/>
    <w:rsid w:val="004E05D6"/>
    <w:rsid w:val="004E714D"/>
    <w:rsid w:val="00530EE6"/>
    <w:rsid w:val="00541B2D"/>
    <w:rsid w:val="00547E32"/>
    <w:rsid w:val="00556ECE"/>
    <w:rsid w:val="00563D52"/>
    <w:rsid w:val="0058657C"/>
    <w:rsid w:val="00591E73"/>
    <w:rsid w:val="005A5EB4"/>
    <w:rsid w:val="005B2EC5"/>
    <w:rsid w:val="005B5B8C"/>
    <w:rsid w:val="005F0AA5"/>
    <w:rsid w:val="00600BE2"/>
    <w:rsid w:val="00610463"/>
    <w:rsid w:val="006137E3"/>
    <w:rsid w:val="00636BA7"/>
    <w:rsid w:val="00661930"/>
    <w:rsid w:val="006701CD"/>
    <w:rsid w:val="006815A5"/>
    <w:rsid w:val="00686A14"/>
    <w:rsid w:val="006A45F7"/>
    <w:rsid w:val="006B7487"/>
    <w:rsid w:val="0072020F"/>
    <w:rsid w:val="00725685"/>
    <w:rsid w:val="00733C80"/>
    <w:rsid w:val="0073618D"/>
    <w:rsid w:val="0074680C"/>
    <w:rsid w:val="00775E35"/>
    <w:rsid w:val="00794C22"/>
    <w:rsid w:val="007A58D7"/>
    <w:rsid w:val="008036E3"/>
    <w:rsid w:val="0081321D"/>
    <w:rsid w:val="00813CFB"/>
    <w:rsid w:val="0084307D"/>
    <w:rsid w:val="008671FC"/>
    <w:rsid w:val="008A4483"/>
    <w:rsid w:val="008C2CDE"/>
    <w:rsid w:val="008D4A3E"/>
    <w:rsid w:val="00920580"/>
    <w:rsid w:val="0096196B"/>
    <w:rsid w:val="00974B68"/>
    <w:rsid w:val="0097618F"/>
    <w:rsid w:val="009D6C4C"/>
    <w:rsid w:val="00A17817"/>
    <w:rsid w:val="00A65272"/>
    <w:rsid w:val="00A74C5A"/>
    <w:rsid w:val="00A940C9"/>
    <w:rsid w:val="00AA578B"/>
    <w:rsid w:val="00AD3726"/>
    <w:rsid w:val="00B04550"/>
    <w:rsid w:val="00B268BC"/>
    <w:rsid w:val="00B51850"/>
    <w:rsid w:val="00B90C8D"/>
    <w:rsid w:val="00BC1BE0"/>
    <w:rsid w:val="00BD7B97"/>
    <w:rsid w:val="00BE4C3A"/>
    <w:rsid w:val="00BF06C5"/>
    <w:rsid w:val="00C01AA1"/>
    <w:rsid w:val="00C40D19"/>
    <w:rsid w:val="00C4163D"/>
    <w:rsid w:val="00C41A77"/>
    <w:rsid w:val="00C87139"/>
    <w:rsid w:val="00C92395"/>
    <w:rsid w:val="00C938D0"/>
    <w:rsid w:val="00C97657"/>
    <w:rsid w:val="00CE189D"/>
    <w:rsid w:val="00CF3F49"/>
    <w:rsid w:val="00D02369"/>
    <w:rsid w:val="00D128E7"/>
    <w:rsid w:val="00D53B8D"/>
    <w:rsid w:val="00D65899"/>
    <w:rsid w:val="00D66CF8"/>
    <w:rsid w:val="00D77549"/>
    <w:rsid w:val="00D8312A"/>
    <w:rsid w:val="00DE1788"/>
    <w:rsid w:val="00E054D5"/>
    <w:rsid w:val="00E36E83"/>
    <w:rsid w:val="00E41D26"/>
    <w:rsid w:val="00E51AC9"/>
    <w:rsid w:val="00E51E7A"/>
    <w:rsid w:val="00E5463F"/>
    <w:rsid w:val="00E570CE"/>
    <w:rsid w:val="00EB0336"/>
    <w:rsid w:val="00ED75DB"/>
    <w:rsid w:val="00EE27E5"/>
    <w:rsid w:val="00F14AF8"/>
    <w:rsid w:val="00F37383"/>
    <w:rsid w:val="00F40962"/>
    <w:rsid w:val="00F4440D"/>
    <w:rsid w:val="00F579BE"/>
    <w:rsid w:val="00F878E6"/>
    <w:rsid w:val="00FB174C"/>
    <w:rsid w:val="00FC4392"/>
    <w:rsid w:val="00FC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8DFD"/>
  <w15:docId w15:val="{68972DF7-F90D-4257-B383-D68B810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1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Ekrami</cp:lastModifiedBy>
  <cp:revision>3</cp:revision>
  <cp:lastPrinted>2019-02-10T11:06:00Z</cp:lastPrinted>
  <dcterms:created xsi:type="dcterms:W3CDTF">2019-10-22T09:40:00Z</dcterms:created>
  <dcterms:modified xsi:type="dcterms:W3CDTF">2019-10-23T04:25:00Z</dcterms:modified>
</cp:coreProperties>
</file>